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《苏州全书》编纂</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中国共产党苏州市委员会宣传部</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1100</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1100</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1100</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1100</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14:paraId="237F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B5105CB">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6EB0BC1">
            <w:pPr>
              <w:widowControl/>
              <w:jc w:val="left"/>
              <w:rPr>
                <w:rFonts w:ascii="宋体" w:hAnsi="宋体" w:cs="Arial"/>
                <w:color w:val="000000"/>
                <w:kern w:val="0"/>
                <w:sz w:val="20"/>
                <w:szCs w:val="20"/>
              </w:rPr>
            </w:pPr>
            <w:r>
              <w:rPr>
                <w:rFonts w:hint="eastAsia" w:ascii="宋体" w:hAnsi="宋体" w:cs="Arial"/>
                <w:color w:val="000000"/>
                <w:kern w:val="0"/>
                <w:sz w:val="20"/>
                <w:szCs w:val="20"/>
              </w:rPr>
              <w:t>1100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9E2FDCD">
            <w:pPr>
              <w:widowControl/>
              <w:jc w:val="left"/>
              <w:rPr>
                <w:rFonts w:ascii="宋体" w:hAnsi="宋体" w:cs="Arial"/>
                <w:color w:val="000000"/>
                <w:kern w:val="0"/>
                <w:sz w:val="20"/>
                <w:szCs w:val="20"/>
              </w:rPr>
            </w:pPr>
            <w:r>
              <w:rPr>
                <w:rFonts w:hint="eastAsia" w:ascii="宋体" w:hAnsi="宋体" w:cs="Arial"/>
                <w:color w:val="000000"/>
                <w:kern w:val="0"/>
                <w:sz w:val="20"/>
                <w:szCs w:val="20"/>
              </w:rPr>
              <w:t>1100</w:t>
            </w:r>
          </w:p>
        </w:tc>
      </w:tr>
      <w:tr w14:paraId="2B22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751975C">
            <w:pPr>
              <w:widowControl/>
              <w:jc w:val="left"/>
              <w:rPr>
                <w:rFonts w:ascii="宋体" w:hAnsi="宋体" w:cs="Arial"/>
                <w:color w:val="000000"/>
                <w:kern w:val="0"/>
                <w:sz w:val="20"/>
                <w:szCs w:val="20"/>
              </w:rPr>
            </w:pPr>
            <w:r>
              <w:rPr>
                <w:rFonts w:hint="eastAsia" w:ascii="宋体" w:hAnsi="宋体" w:cs="Arial"/>
                <w:color w:val="000000"/>
                <w:kern w:val="0"/>
                <w:sz w:val="20"/>
                <w:szCs w:val="20"/>
              </w:rPr>
              <w:t>《苏州全书》编纂</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B256A5C">
            <w:pPr>
              <w:widowControl/>
              <w:jc w:val="left"/>
              <w:rPr>
                <w:rFonts w:ascii="宋体" w:hAnsi="宋体" w:cs="Arial"/>
                <w:color w:val="000000"/>
                <w:kern w:val="0"/>
                <w:sz w:val="20"/>
                <w:szCs w:val="20"/>
              </w:rPr>
            </w:pPr>
            <w:r>
              <w:rPr>
                <w:rFonts w:hint="eastAsia" w:ascii="宋体" w:hAnsi="宋体" w:cs="Arial"/>
                <w:color w:val="000000"/>
                <w:kern w:val="0"/>
                <w:sz w:val="20"/>
                <w:szCs w:val="20"/>
              </w:rPr>
              <w:t>1100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FF7223D">
            <w:pPr>
              <w:widowControl/>
              <w:jc w:val="left"/>
              <w:rPr>
                <w:rFonts w:ascii="宋体" w:hAnsi="宋体" w:cs="Arial"/>
                <w:color w:val="000000"/>
                <w:kern w:val="0"/>
                <w:sz w:val="20"/>
                <w:szCs w:val="20"/>
              </w:rPr>
            </w:pPr>
            <w:r>
              <w:rPr>
                <w:rFonts w:hint="eastAsia" w:ascii="宋体" w:hAnsi="宋体" w:cs="Arial"/>
                <w:color w:val="000000"/>
                <w:kern w:val="0"/>
                <w:sz w:val="20"/>
                <w:szCs w:val="20"/>
              </w:rPr>
              <w:t>1100</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546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3AD754F9">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E70F211">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316C9E">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35BFCF">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4D6E4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D4C50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B48689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31B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E3F51C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AE70BD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2CFCD12">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AA6206">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C8008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FB4DE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44751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5E6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122D37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6DB9BB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183CB4">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4B92E4">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ECC717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A7934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94130F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77D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A5DD5A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C7B06F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2B2821">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DDA2DA">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C2294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F93E1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5EA079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4A8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C3F8BB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2B29FD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509FA0">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19D261">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11AEE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FFD22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E262C8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E75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656C34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7F4466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059108">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DD37C2">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5B4A9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9488C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8210B4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AD5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835EE8">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17298BD">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FE25D4">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A5325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204D1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B364F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8B841F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3FE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6AABD1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29CE1A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22C73B">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6296AA">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077A7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752CE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D5B9FF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D7B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BEBC93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F840E6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B048EDD">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1C53A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36B9E3">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9C30D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481B346">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74E4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B6ACAE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465463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1A91C5">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911FB1">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4EEDF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20C0F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36B953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BB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3C825A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252F44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DBD8CF">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FD91F3">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5F425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82608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6312A8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15B6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AC82285">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827673D">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AAD30B">
            <w:pPr>
              <w:widowControl/>
              <w:jc w:val="left"/>
              <w:rPr>
                <w:rFonts w:ascii="宋体" w:hAnsi="宋体" w:cs="Arial"/>
                <w:color w:val="000000"/>
                <w:kern w:val="0"/>
                <w:sz w:val="20"/>
                <w:szCs w:val="20"/>
              </w:rPr>
            </w:pPr>
            <w:r>
              <w:rPr>
                <w:rFonts w:hint="eastAsia" w:ascii="宋体" w:hAnsi="宋体" w:cs="Arial"/>
                <w:color w:val="000000"/>
                <w:kern w:val="0"/>
                <w:sz w:val="20"/>
                <w:szCs w:val="20"/>
              </w:rPr>
              <w:t>出版图书数量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1D31551">
            <w:pPr>
              <w:widowControl/>
              <w:jc w:val="left"/>
              <w:rPr>
                <w:rFonts w:ascii="宋体" w:hAnsi="宋体" w:cs="Arial"/>
                <w:color w:val="000000"/>
                <w:kern w:val="0"/>
                <w:sz w:val="20"/>
                <w:szCs w:val="20"/>
              </w:rPr>
            </w:pPr>
            <w:r>
              <w:rPr>
                <w:rFonts w:hint="eastAsia" w:ascii="宋体" w:hAnsi="宋体" w:cs="Arial"/>
                <w:color w:val="000000"/>
                <w:kern w:val="0"/>
                <w:sz w:val="20"/>
                <w:szCs w:val="20"/>
              </w:rPr>
              <w:t>=50册</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DE42B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73F61C">
            <w:pPr>
              <w:widowControl/>
              <w:jc w:val="left"/>
              <w:rPr>
                <w:rFonts w:ascii="宋体" w:hAnsi="宋体" w:cs="Arial"/>
                <w:color w:val="000000"/>
                <w:kern w:val="0"/>
                <w:sz w:val="20"/>
                <w:szCs w:val="20"/>
              </w:rPr>
            </w:pPr>
            <w:r>
              <w:rPr>
                <w:rFonts w:hint="eastAsia" w:ascii="宋体" w:hAnsi="宋体" w:cs="Arial"/>
                <w:color w:val="000000"/>
                <w:kern w:val="0"/>
                <w:sz w:val="20"/>
                <w:szCs w:val="20"/>
              </w:rPr>
              <w:t>60册</w:t>
            </w:r>
          </w:p>
        </w:tc>
        <w:tc>
          <w:tcPr>
            <w:tcW w:w="1215" w:type="dxa"/>
            <w:tcBorders>
              <w:top w:val="single" w:color="auto" w:sz="4" w:space="0"/>
              <w:left w:val="single" w:color="auto" w:sz="4" w:space="0"/>
              <w:bottom w:val="single" w:color="auto" w:sz="4" w:space="0"/>
              <w:right w:val="single" w:color="auto" w:sz="4" w:space="0"/>
            </w:tcBorders>
            <w:vAlign w:val="center"/>
          </w:tcPr>
          <w:p w14:paraId="329FD8F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4EB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37F7B4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0F194B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45D40F">
            <w:pPr>
              <w:widowControl/>
              <w:jc w:val="left"/>
              <w:rPr>
                <w:rFonts w:ascii="宋体" w:hAnsi="宋体" w:cs="Arial"/>
                <w:color w:val="000000"/>
                <w:kern w:val="0"/>
                <w:sz w:val="20"/>
                <w:szCs w:val="20"/>
              </w:rPr>
            </w:pPr>
            <w:r>
              <w:rPr>
                <w:rFonts w:hint="eastAsia" w:ascii="宋体" w:hAnsi="宋体" w:cs="Arial"/>
                <w:color w:val="000000"/>
                <w:kern w:val="0"/>
                <w:sz w:val="20"/>
                <w:szCs w:val="20"/>
              </w:rPr>
              <w:t>出版图书合格率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CDCC25">
            <w:pPr>
              <w:widowControl/>
              <w:jc w:val="left"/>
              <w:rPr>
                <w:rFonts w:ascii="宋体" w:hAnsi="宋体" w:cs="Arial"/>
                <w:color w:val="000000"/>
                <w:kern w:val="0"/>
                <w:sz w:val="20"/>
                <w:szCs w:val="20"/>
              </w:rPr>
            </w:pPr>
            <w:r>
              <w:rPr>
                <w:rFonts w:hint="eastAsia" w:ascii="宋体" w:hAnsi="宋体" w:cs="Arial"/>
                <w:color w:val="000000"/>
                <w:kern w:val="0"/>
                <w:sz w:val="20"/>
                <w:szCs w:val="20"/>
              </w:rPr>
              <w:t>&gt;=95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78F07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9330C3">
            <w:pPr>
              <w:widowControl/>
              <w:jc w:val="left"/>
              <w:rPr>
                <w:rFonts w:ascii="宋体" w:hAnsi="宋体" w:cs="Arial"/>
                <w:color w:val="000000"/>
                <w:kern w:val="0"/>
                <w:sz w:val="20"/>
                <w:szCs w:val="20"/>
              </w:rPr>
            </w:pPr>
            <w:r>
              <w:rPr>
                <w:rFonts w:hint="eastAsia" w:ascii="宋体" w:hAnsi="宋体" w:cs="Arial"/>
                <w:color w:val="000000"/>
                <w:kern w:val="0"/>
                <w:sz w:val="20"/>
                <w:szCs w:val="20"/>
              </w:rPr>
              <w:t>99.99</w:t>
            </w:r>
          </w:p>
        </w:tc>
        <w:tc>
          <w:tcPr>
            <w:tcW w:w="1215" w:type="dxa"/>
            <w:tcBorders>
              <w:top w:val="single" w:color="auto" w:sz="4" w:space="0"/>
              <w:left w:val="single" w:color="auto" w:sz="4" w:space="0"/>
              <w:bottom w:val="single" w:color="auto" w:sz="4" w:space="0"/>
              <w:right w:val="single" w:color="auto" w:sz="4" w:space="0"/>
            </w:tcBorders>
            <w:vAlign w:val="center"/>
          </w:tcPr>
          <w:p w14:paraId="0CB2FDD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119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CAEB43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AF1D55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C5DF6C">
            <w:pPr>
              <w:widowControl/>
              <w:jc w:val="left"/>
              <w:rPr>
                <w:rFonts w:ascii="宋体" w:hAnsi="宋体" w:cs="Arial"/>
                <w:color w:val="000000"/>
                <w:kern w:val="0"/>
                <w:sz w:val="20"/>
                <w:szCs w:val="20"/>
              </w:rPr>
            </w:pPr>
            <w:r>
              <w:rPr>
                <w:rFonts w:hint="eastAsia" w:ascii="宋体" w:hAnsi="宋体" w:cs="Arial"/>
                <w:color w:val="000000"/>
                <w:kern w:val="0"/>
                <w:sz w:val="20"/>
                <w:szCs w:val="20"/>
              </w:rPr>
              <w:t>图书出版及时性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65CB27">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CDE4B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429FD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F6CB17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D19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7F50CA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9F8869E">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527E2D">
            <w:pPr>
              <w:widowControl/>
              <w:jc w:val="left"/>
              <w:rPr>
                <w:rFonts w:ascii="宋体" w:hAnsi="宋体" w:cs="Arial"/>
                <w:color w:val="000000"/>
                <w:kern w:val="0"/>
                <w:sz w:val="20"/>
                <w:szCs w:val="20"/>
              </w:rPr>
            </w:pPr>
            <w:r>
              <w:rPr>
                <w:rFonts w:hint="eastAsia" w:ascii="宋体" w:hAnsi="宋体" w:cs="Arial"/>
                <w:color w:val="000000"/>
                <w:kern w:val="0"/>
                <w:sz w:val="20"/>
                <w:szCs w:val="20"/>
              </w:rPr>
              <w:t>苏州全书研究类专题项目</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9D62FB">
            <w:pPr>
              <w:widowControl/>
              <w:jc w:val="left"/>
              <w:rPr>
                <w:rFonts w:ascii="宋体" w:hAnsi="宋体" w:cs="Arial"/>
                <w:color w:val="000000"/>
                <w:kern w:val="0"/>
                <w:sz w:val="20"/>
                <w:szCs w:val="20"/>
              </w:rPr>
            </w:pPr>
            <w:r>
              <w:rPr>
                <w:rFonts w:hint="eastAsia" w:ascii="宋体" w:hAnsi="宋体" w:cs="Arial"/>
                <w:color w:val="000000"/>
                <w:kern w:val="0"/>
                <w:sz w:val="20"/>
                <w:szCs w:val="20"/>
              </w:rPr>
              <w:t>&gt;=7</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A288B7E">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96E91C">
            <w:pPr>
              <w:widowControl/>
              <w:jc w:val="left"/>
              <w:rPr>
                <w:rFonts w:ascii="宋体" w:hAnsi="宋体" w:cs="Arial"/>
                <w:color w:val="000000"/>
                <w:kern w:val="0"/>
                <w:sz w:val="20"/>
                <w:szCs w:val="20"/>
              </w:rPr>
            </w:pPr>
            <w:r>
              <w:rPr>
                <w:rFonts w:hint="eastAsia" w:ascii="宋体" w:hAnsi="宋体" w:cs="Arial"/>
                <w:color w:val="000000"/>
                <w:kern w:val="0"/>
                <w:sz w:val="20"/>
                <w:szCs w:val="20"/>
              </w:rPr>
              <w:t>7</w:t>
            </w:r>
          </w:p>
        </w:tc>
        <w:tc>
          <w:tcPr>
            <w:tcW w:w="1215" w:type="dxa"/>
            <w:tcBorders>
              <w:top w:val="single" w:color="auto" w:sz="4" w:space="0"/>
              <w:left w:val="single" w:color="auto" w:sz="4" w:space="0"/>
              <w:bottom w:val="single" w:color="auto" w:sz="4" w:space="0"/>
              <w:right w:val="single" w:color="auto" w:sz="4" w:space="0"/>
            </w:tcBorders>
            <w:vAlign w:val="center"/>
          </w:tcPr>
          <w:p w14:paraId="6456C5BC">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14:paraId="5EC6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7F2AD9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733176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B53CF6">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入选国家珍贵古籍名录 </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5CD6DC">
            <w:pPr>
              <w:widowControl/>
              <w:jc w:val="left"/>
              <w:rPr>
                <w:rFonts w:ascii="宋体" w:hAnsi="宋体" w:cs="Arial"/>
                <w:color w:val="000000"/>
                <w:kern w:val="0"/>
                <w:sz w:val="20"/>
                <w:szCs w:val="20"/>
              </w:rPr>
            </w:pPr>
            <w:r>
              <w:rPr>
                <w:rFonts w:hint="eastAsia" w:ascii="宋体" w:hAnsi="宋体" w:cs="Arial"/>
                <w:color w:val="000000"/>
                <w:kern w:val="0"/>
                <w:sz w:val="20"/>
                <w:szCs w:val="20"/>
              </w:rPr>
              <w:t>&gt;=10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C9C53F">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4207B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5" w:type="dxa"/>
            <w:tcBorders>
              <w:top w:val="single" w:color="auto" w:sz="4" w:space="0"/>
              <w:left w:val="single" w:color="auto" w:sz="4" w:space="0"/>
              <w:bottom w:val="single" w:color="auto" w:sz="4" w:space="0"/>
              <w:right w:val="single" w:color="auto" w:sz="4" w:space="0"/>
            </w:tcBorders>
            <w:vAlign w:val="center"/>
          </w:tcPr>
          <w:p w14:paraId="2EEBBA12">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14:paraId="23FA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3BE023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B887A5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D6D180">
            <w:pPr>
              <w:widowControl/>
              <w:jc w:val="left"/>
              <w:rPr>
                <w:rFonts w:ascii="宋体" w:hAnsi="宋体" w:cs="Arial"/>
                <w:color w:val="000000"/>
                <w:kern w:val="0"/>
                <w:sz w:val="20"/>
                <w:szCs w:val="20"/>
              </w:rPr>
            </w:pPr>
            <w:r>
              <w:rPr>
                <w:rFonts w:hint="eastAsia" w:ascii="宋体" w:hAnsi="宋体" w:cs="Arial"/>
                <w:color w:val="000000"/>
                <w:kern w:val="0"/>
                <w:sz w:val="20"/>
                <w:szCs w:val="20"/>
              </w:rPr>
              <w:t>宣传推广活动</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44DED2">
            <w:pPr>
              <w:widowControl/>
              <w:jc w:val="left"/>
              <w:rPr>
                <w:rFonts w:ascii="宋体" w:hAnsi="宋体" w:cs="Arial"/>
                <w:color w:val="000000"/>
                <w:kern w:val="0"/>
                <w:sz w:val="20"/>
                <w:szCs w:val="20"/>
              </w:rPr>
            </w:pPr>
            <w:r>
              <w:rPr>
                <w:rFonts w:hint="eastAsia" w:ascii="宋体" w:hAnsi="宋体" w:cs="Arial"/>
                <w:color w:val="000000"/>
                <w:kern w:val="0"/>
                <w:sz w:val="20"/>
                <w:szCs w:val="20"/>
              </w:rPr>
              <w:t>&gt;=10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66A621">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3C5345">
            <w:pPr>
              <w:widowControl/>
              <w:jc w:val="left"/>
              <w:rPr>
                <w:rFonts w:ascii="宋体" w:hAnsi="宋体" w:cs="Arial"/>
                <w:color w:val="000000"/>
                <w:kern w:val="0"/>
                <w:sz w:val="20"/>
                <w:szCs w:val="20"/>
              </w:rPr>
            </w:pPr>
            <w:r>
              <w:rPr>
                <w:rFonts w:hint="eastAsia" w:ascii="宋体" w:hAnsi="宋体" w:cs="Arial"/>
                <w:color w:val="000000"/>
                <w:kern w:val="0"/>
                <w:sz w:val="20"/>
                <w:szCs w:val="20"/>
              </w:rPr>
              <w:t>11</w:t>
            </w:r>
          </w:p>
        </w:tc>
        <w:tc>
          <w:tcPr>
            <w:tcW w:w="1215" w:type="dxa"/>
            <w:tcBorders>
              <w:top w:val="single" w:color="auto" w:sz="4" w:space="0"/>
              <w:left w:val="single" w:color="auto" w:sz="4" w:space="0"/>
              <w:bottom w:val="single" w:color="auto" w:sz="4" w:space="0"/>
              <w:right w:val="single" w:color="auto" w:sz="4" w:space="0"/>
            </w:tcBorders>
            <w:vAlign w:val="center"/>
          </w:tcPr>
          <w:p w14:paraId="6C282784">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82</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为深入研究挖掘苏州历史文化资源，进一步提升和彰显苏州文化软实力，根据市委常委会指示要求，市委办、市政府办于2022年7月20日印发了《〈苏州全书〉编纂工程实施方案》，提出用20年时间，对苏州地方文献资料进行一次全面系统整理，编辑出版《苏州全书》系列图书不少于1000册。一期计划出版500册，至2031年完成。全书分4个专题组织编纂。即：书目整理、古籍、近现代书籍、苏州研究类著作。其中，古籍专题分为经、史、子、集四个部类，近现代书籍分为哲学社会科学、自然科学和综合类三个部类，分别进行整理编纂。2024年度预算安排为1100万元，实际支出1100万元，预算执行率为100%。</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计划用20年时间，对苏州地方文献资料进行一次全面系统整理，编辑出版《苏州全书》系列图书不少于1000册。</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1、2024年保质保量按时完成全年图书出版计划60册。2、完成全书研究类专题项目立项签约7个，其中多个项目填补了目前学术研究空白。3、所出版图书品种中，入选国家珍贵古籍名录的图书10种。4、全年开展宣传推广活动11场。</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一、资金使用情况：2024年度《苏州全书》编纂预算安排为1100万元，实际支出1100万元，预算执行率为100%。二、项目实施情况：一是组织实施方面。专门制定《&lt;苏州全书&gt;编纂出版委员会工作规则》，对编委会及编委办主要职责、会议制度、专家咨询、项目评审和实施、经费使用管理等作出明确规定，编委办从执行层面抓好细化落实。建立健全《苏州全书》编纂工程领导小组办公室与编委会办公室，市级层级与县级市（区）等协调联动机制，不断提升组织化水平，以“一盘棋”思想加快推动《苏州全书》编纂。二是数量、质量及时效方面。2024年《苏州全书》完成年度出版计划，如期出版图书60册。其中古吴轩出版社共完成17种33册图书的编辑出版工作，苏州大学出版社共完成16种27册图书编辑出版工作。所有书目均严格执行“三审三校”出版流程，乙编排印本则执行“三审四校”流程。先后对国家图书馆、上海图书馆、南京图书馆、浙江图书馆、日本国立公文书馆等国内外藏书机构《苏州全书》相关书目进行了集中调研和梳理，并做好和海外、境内接洽版权事宜。三是社会效益方面。除出版工作外，还积极与档案、地方志、教育、园林、文广旅等部门单位对接，开展研究类项目的课题论证，面向社会广泛征集研究团队。《苏州全书》在2024年两次进行了研究项目面向社会的公开征集，通过了《苏州经学史》《吴都法乘》点校，《松陵诗征（外四种》点校，《苏州商会史（1905-1949）》《苏州契约文书选编》《显志堂稿》点校整理，民国《吴县志》点校整理等7个研究项目，并正式立项开题。这些开创性项目的研究，填补了苏州相关领域研究和文献整理的空白，也是《苏州全书》的一大特色。在年度出版的图书中有10种文献为国家珍贵古籍名录所收藏。四是扩大宣传，实现多维度普及。在推进《苏州全书》编纂出版工作过程中，编委办积极利用各种契机加大宣传力度。除了在流媒体持续性发布消息，提高《苏州全书》编纂出版的公众知晓度外，《苏州全书》正在积极的“走出去”。2024年《苏州全书》宣传活动范围广泛涵盖两会会场、园林景区、各级学校、社区基层、企业单位、各类书展以及文化市集等多元场所。1月，《苏州全书》进驻两会现场，向全市民众展示阶段性编纂成果；4月，于吴门街道“心系苏州”传统文化活动场地与读者互动交流，并举行赠书仪式；同期，在苏州留园开展以《园冶》为主题的《苏州全书》读书分享会。此外，《苏州全书》公众号团队联合苏州大学出版社以及分卷主编沈慧瑛、苏州市园林档案馆包兰老师赴南京专访《苏州古典园林》作者刘敦桢之子刘叙杰老先生，并敬赠《苏州全书》版《苏州古典园林》书籍；5月，复旦大学古籍整理研究所教授、中国古典文献学博士生导师陈正宏在古吴轩国学大讲堂溯源江南系列首场讲座中，结合《苏州全书》深入阐释“苏板”，为苏州市民读者详尽讲述苏州刻书的漫长历史与深远意义；同月，《苏州全书》走进苏州市实验小学，以“播撒典籍的种子，开启亲近人文的第一课”为主题举办读书分享会，并向校图书馆捐赠《苏州全书》；7月，《苏州全书》在江苏书展书展首日举行《苏州全书》编纂工程启动2周年暨出版图书100册成果分享会；次日，从《园冶》到《苏州古典园林》——《苏州全书》阅读分享会在书香苏州馆精彩呈现；第三日，“典籍里的苏州——共读《苏州全书》之雕版体验”活动于书香苏州馆开展，为青少年提供了一场沉浸式的《苏州全书》阅读之旅；第四日，共读《苏州全书》之《游苏备览（外四种）》分享活动在书香苏州馆举行；书展最后一日，“夫子之音 浩然正气”——《苏州全书》走进大师唐文治阅读分享会于书香苏州馆精彩展示；8月，《苏州全书》深入企业苏州威廉姆斯控制系统有限公司开展研学活动，为新时代企业发展助力赋能；9月，《苏州全书》走进万寿宫苏州市老年大学，与苏州市儒学研究会会员进行分享交流并赠送全书；10月，《苏州全书》走进协鑫集团，举办赠书仪式及座谈交流活动；11月，《苏州全书》亮相金狮校园里首届姑苏书店展，与广大读者深度分享《苏州全书》背后的故事，剖析其蕴含的深厚文化价值；12月，《苏州全书》现身平江路姑苏书香市集，持续推动“书香苏州</w:t>
            </w:r>
            <w:r>
              <w:rPr>
                <w:rFonts w:hint="eastAsia" w:cs="Arial"/>
                <w:color w:val="000000"/>
                <w:sz w:val="22"/>
                <w:lang w:eastAsia="zh-CN"/>
              </w:rPr>
              <w:t>·</w:t>
            </w:r>
            <w:r>
              <w:rPr>
                <w:rFonts w:hint="eastAsia" w:cs="Arial"/>
                <w:color w:val="000000"/>
                <w:sz w:val="22"/>
              </w:rPr>
              <w:t>四季 share 书”活动深入开展。2024年度预算安排为1100万元，实际支出1100万元，预算执行率为100%。</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1、为确保《苏州全书》编纂工作的高效推进，专门制定了《苏州全书编纂出版委员会工作规则》，明确了编委会及编委办的主要职责、会议制度、专家咨询机制、项目评审和实施流程以及经费使用管理办法。编委办从执行层面细化落实这些规定，建立健全了市级层级与县级市（区）之间的协调联动机制，提升了组织化水平，以“一盘棋”思想加快推动《苏州全书》的编纂工作。2、2024年，《苏州全书》如期完成年度出版计划，共出版图书60册。其中，古吴轩出版社完成了17种33册图书的编辑出版工作，而苏州大学出版社则完成了16种27册图书的编辑出版任务。所有书目均严格执行“三审三校”出版流程，乙编排印本更是执行了更为严格的“三审四校”流程。此外，还对国内外多家藏书机构的相关书目进行了集中调研，并妥善处理了版权事宜。3、除出版工作外，《苏州全书》积极对接档案、地方志、教育、园林、文广旅等部门单位，开展了多项研究类项目的课题论证，并面向社会广泛征集研究团队。2024年，《苏州全书》通过了包括《苏州经学史》、《吴都法乘》点校等在内的7个重要研究项目，并正式立项开题。这些开创性项目填补了苏州相关领域研究和文献整理的空白，成为《苏州全书》的一大特色。值得注意的是，年度出版的图书中有10种文献被国家珍贵古籍名录所收藏。4、在推进《苏州全书》编纂出版过程中，编委办积极利用各种契机加大宣传力度。不仅在流媒体上持续发布消息，提高公众知晓度，《苏州全书》还积极参与到两会会场、园林景区、各级学校、社区基层、企业单位、各类书展以及文化市集等多种场所的活动中。例如，在苏州留园举办了以《园冶》为主题的读书分享会；在江苏书展上举行了多次阅读分享活动；走进苏州市实验小学，举办主题为“播撒典籍的种子，开启亲近人文的第一课”的读书分享会；并在复旦大学古籍整理研究所教授陈正宏的讲座中深入探讨了苏州刻书的历史与意义。</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1、整理编纂古籍和近现代书籍需要具备一定的学术水平和专业能力，可能涉及到版权问题2、项目计划用20年时间，对苏州地方文献资料进行一次全面系统整理时间跨度较长，资源整合难度较大。</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1、在整理前，明确版权归属，获得相关授权，必要时联系版权持有者或通过法律途径解决版权问题。设立审查机制，确保整理成果的学术质量，避免错误或争议内容。2、将20年项目分为若干阶段，每阶段设定明确目标和时间表，便于管理和评估。 与图书馆、档案馆、高校等机构合作，共享资源，减少重复劳动，提高效率。</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4C652F56"/>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868</Words>
  <Characters>1418</Characters>
  <Lines>12</Lines>
  <Paragraphs>3</Paragraphs>
  <TotalTime>2</TotalTime>
  <ScaleCrop>false</ScaleCrop>
  <LinksUpToDate>false</LinksUpToDate>
  <CharactersWithSpaces>1418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xcb</cp:lastModifiedBy>
  <dcterms:modified xsi:type="dcterms:W3CDTF">2025-10-09T07:19:56Z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2052-12.8.2.17838</vt:lpwstr>
  </property>
  <property fmtid="{D5CDD505-2E9C-101B-9397-08002B2CF9AE}" pid="4" name="ICV">
    <vt:lpwstr>9F669C4FED13413589140FF1E65A5D7A_12</vt:lpwstr>
  </property>
</Properties>
</file>