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精神文明建设</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中国共产党苏州市委员会宣传部</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2268</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2268</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2268</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2256.59</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11.41</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11.41</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2268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2256.59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书香苏州及全民阅读社会建设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590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文明城市长效管理及未成年人教育</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820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爱国主义教育及新时代文明实践</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468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468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思想理论阵地建设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390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378.59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基层理论宣讲</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书香文化活动数量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文明实践活动开展数量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&gt;=200000个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228599个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聘请法律顾问合同</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1份</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结合2025“苏州文学周”集中举办文学活动的书店</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未成年人社会实践活动场数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=1000场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1025场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“行走的课堂”文明单位交流活动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开展文明城市建设互学互鉴</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基层未成年人工作队伍培训次数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文明城市常态长效问题反馈</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编印《宣传工作情况》</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=24期</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24期</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社会主义核心价值观宣传活动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&gt;=12场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马院年度项目完成率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报送学习强国省平台审核通过率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“扣好人生第一粒扣子”未成年人主题活动开展及时性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文明实践咨询发布</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马院项目当年度完成</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书香文化活动新闻报道及时性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文明实践资源提供量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&gt;=5000个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6466个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文明城市长效管理测评（根据文件形成全市各版块社会文明程度指数）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xml:space="preserve">学习强国江苏学习平台采用稿件条数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=1500条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1718条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书香文化活动新闻报道</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&gt;=40篇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40篇</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在未成年人社会实践基地开展未成年人社会实践活动覆盖率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获评省级及以上各类先进典型</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&gt;=2人（组）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3人（组）</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全年学习强国平台推送内容</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=200条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258条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新书首发活动新闻报道</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&gt;=48篇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58篇</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开展全市范围内专项督查</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覆盖苏州大市范围</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书香文化活动销售额</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&gt;=50万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51.39万</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书香文化活动读者满意度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91.4%</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2.72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根据中国共产党宣传工作条例，本专项主要用于高校思政、新时代文明实践志愿服务、未成年人社会实践引导及文明城市长效管理工作。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做好全国文明城市年度评选工作，广泛动员全市干部群众积极参与文明城市创建，继续争创“全国文明城市”，使苏州市高标准通过全国文明城市复评，按照《全国文明城市测评体系》和《全国未成年人思想道德建设工作测评体系》的要求，明确责任、落实任务，进一步深化文明城市长效管理各项工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编印《宣传工作情况》24期；开展4次“行走的课堂”文明单位交流活动；开展12场社会主义核心价值观宣传活动；开展8场书香文化活动；反馈2次文明城市常态长效问题；开展基层未成年人工作队伍培训2次；开展文明实践活动超过20万次；开展未成年人社会实践活动1000场；开展3次文明城市建设互学互鉴互动；开展基层理论宣讲60场；</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项目预算执行情况2025年度精神文明建设资金预算2268万元，实际支出2256.59万元，预算执行率为99.50%。其中文明城市长效管理及未成年人教育资金预算820万元，实际支出820万元；思想理论阵地建设资金预算390万元，实际支出378.59万元；爱国主义教育及新时代文明实践资金预算468万元，实际支出468万元；书香苏州及全民阅读社会建设资金预算590万元，实际支出590万元。二、项目实施情况。1、组织开展书香文化活动8场，分别是2025人大《决定》发布施行暨2025年苏州市全民阅读系列活动启动活动1场、“2025苏州文学周”系列活动1场、2025年全民阅读菁英荟活动1场、“四季share书”文化市集活动5场。2、结合2025“苏州文学周”集中举办文学活动的书店22家。3、全年组织新书首发活动新闻报道58篇；4、编印《宣传工作情况》24期；5、开展社会主义核心价值观宣传活动12场；6、开展未成年人社会实践活动场数1025场，7、深入开展党的二十届四中全会精神宣讲，组建由有关市领导、部门单位主要负责同志和有关专家学者等38人组成的市委宣讲团，赴全市各地各系统开展集中宣讲75场。8、对苏州市区范围进行文明城市常态长效监测，并对主要交通路口的薄弱点位进行反馈，形成2次函件。9、开展第八届全国文明村镇、文明单位预申报对象互学互鉴活动。10、开展4次“行走的课堂”文明单位交流活动，分别走访了苏州市河道管理处、苏州易德龙科技股份有限公司、苏州市港华燃气有限公司和苏州市住房公积金管理中心姑苏分中心。11、常态化的开展基层未成年人工作队伍培训2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高校思政1、持续关注推动马院建设，对16所高校马院申报的项目进行扶持，年度完成率超95%。2、建好用好“学习强国”苏州学习平台，全年被江苏学习平台采用稿件条数1718条，全国平台推送内容258篇，中宣部《“学习强国”平台建设情况》刊发苏州平台工作经验。3、推进“博物馆里的大思政课”建设。会同市教育局等部门制订《关于印发&lt;关于做好“博物馆里的大思政课”工作的实施方案&gt;的通知》，举办苏州市“博物馆里的大思政课”推进会暨示范教学活动，启动33个苏州市“博物馆里的大思政课”馆校思政育人项目，形成了“市级示范、全域推进”的工作格局。围绕“方寸之间见家国”“百年风华”“经纬之间见中华”等主题，开展大中小学思政课教学示范，凸显了大中小学思想政治教育一体化“融会互通、协同育人”的特点。二、新时代文明实践志愿服务、1、承办2025年第一期全国文明实践工作专题培训班，全国各省（区、市）党委宣传部分管领导、业务处室负责同志，部分县（市、区）党委书记、党委宣传部部长等150余人参加，我市创新探索新时代文明实践中心建设的经验做法在全国培训班上作交流发言2、全年累计开展文明实践活动228599个。3、打造全媒体宣传平台，整合市、县两级融媒资源，开设“美德耀苏城”专题专栏，依托文明苏州宣传矩阵，不断创新宣传形式，推出适合网络传播的宣传产品，全年刊发典型人物宣传稿件（视频）120余条。3人（组）获评省级及以上各类先进典型，中国好人、江苏好人数量位居全省前列。三、未成年人社会实践引导1、深化“扣好人生第一粒扣子”主题教育，结合中国人民抗日战争暨世界反法西斯战争胜利80周年纪念工作部署，组织开展苏州市中华传统美德“学讲研传”主题宣传教育活动，以“童声唱响胜利歌 童心共筑强国梦”为主题，精心办好“童声里的中国”少儿歌咏活动，全市3000多个团队、逾10万人次参与传唱，大力弘扬伟大抗战精神与爱国主义精神。2、重点指导支持全市160余家“成长苏州”未成年人体验站，常态化开展公益社会实践活动，为未成年人思想道德建设提供了坚实的阵地支撑和丰富的内容供给。3、持续开展“闪亮的新时代好少年”系列活动，以寻访实践、主题夏（冬）令营、“开学第一课”主题思政课等形式贯穿全年，充分发挥榜样示范带动作用，引导广大未成年人自觉践行社会主义核心价值观。2025年，昆山市巴城镇石牌中心小学“小梅花”昆曲艺术团、吴江区“追光少年团”获评“新时代江苏好少年”，其中“小梅花”昆曲艺术团荣获全国“新时代好少年”称号，系苏州市首次获此殊荣，充分展现了我市未成年人昂扬向上、奋发有为的精神风貌。四、文明城市长效管理工作1、依托市文明办自有工作力量对苏州市区范围进行文明城市常态长效检测，并形成各区体检报告，根据检测点位类型及分档情况，最终汇总各板块文明程度指数。为苏州市实现全国文明城市“六连冠”，4个县级市全部蝉联“全国文明城市”保驾护航。2、深入开展“我们的节日”主题活动，在七夕、重阳分别举办市级主场活动及重点活动200余场，弘扬传统文化，培育节日风尚。在五一、端午等节假日开展“文明旅游体验官”行动，广泛发动市民游客分享身边的文明点滴，宣传报道停车资源免费开放、游客自觉整齐排队等文明旅游场景。3、针对中央文明办重点关注的大操大办、厚养薄葬等问题，在长三角一体化示范区举办苏州市“移风易俗主题宣传月”暨乡风文明会客厅活动，发布首份沪苏协同文明公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1、精神文明建设专项工作机制统筹协调作用有待进一步发挥，市容市貌重难点问题治理有待进一步深化。2. 近年来资金投入呈下降趋势，对未成年人社会实践体验站的建设扶持力度不足，导致体验站成员单位开发创新课程、组织专场公益活动的积极性受挫，活动质量和效果有待进一步提升。</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健全文明城市常态长效建设工作制度。针对社区小区、农贸市场、背街小巷等实地考察点位，将每周开展常态化暗访监测，在此基础上实施分类管理，定期组织专项监测。持续开展“洁净家园日”活动，按照分主题、项目化的方式组织好每月活动。进一步畅通群众参与渠道，坚持线上线下相结合，鼓励群众通过12345便民服务热线、“文明随手拍”等方式，反映身边存在的环境卫生、公共秩序等问题。2、适当调整部分子项目的经费比重，设立专门引导资金，鼓励体验站成员单位开发创新课程；同时，针对性组织面向学校的活动普及宣传，进一步提升主题教育活动的质量、知晓率和覆盖面，增强教育实效。</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